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3" w:rsidRDefault="00BF72FE" w:rsidP="003E6702">
      <w:pPr>
        <w:pStyle w:val="Heading1"/>
        <w:spacing w:line="240" w:lineRule="auto"/>
      </w:pPr>
      <w:r>
        <w:t>A</w:t>
      </w:r>
      <w:r w:rsidR="009521C3">
        <w:t>reas likely or unlikely to qualify as OECMs</w:t>
      </w:r>
      <w:r>
        <w:t xml:space="preserve"> – IUCN 2019</w:t>
      </w:r>
    </w:p>
    <w:p w:rsidR="00841B41" w:rsidRDefault="00841B41" w:rsidP="009521C3">
      <w:pPr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205602</wp:posOffset>
            </wp:positionV>
            <wp:extent cx="1518285" cy="2162175"/>
            <wp:effectExtent l="19050" t="19050" r="24765" b="28575"/>
            <wp:wrapTight wrapText="bothSides">
              <wp:wrapPolygon edited="0">
                <wp:start x="-271" y="-190"/>
                <wp:lineTo x="-271" y="21695"/>
                <wp:lineTo x="21681" y="21695"/>
                <wp:lineTo x="21681" y="-190"/>
                <wp:lineTo x="-271" y="-1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7" t="16271" r="71273" b="22089"/>
                    <a:stretch/>
                  </pic:blipFill>
                  <pic:spPr bwMode="auto">
                    <a:xfrm>
                      <a:off x="0" y="0"/>
                      <a:ext cx="1518285" cy="2162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2" w:rsidRPr="00841B41" w:rsidRDefault="009521C3" w:rsidP="009521C3">
      <w:pPr>
        <w:rPr>
          <w:sz w:val="14"/>
        </w:rPr>
      </w:pPr>
      <w:r w:rsidRPr="00841B41">
        <w:rPr>
          <w:sz w:val="18"/>
        </w:rPr>
        <w:t>(</w:t>
      </w:r>
      <w:r w:rsidR="00257185" w:rsidRPr="00841B41">
        <w:rPr>
          <w:sz w:val="18"/>
        </w:rPr>
        <w:t>Excerpt from ‘Recognising and reporting other effective area-based conservation measures</w:t>
      </w:r>
      <w:r w:rsidR="00841B41" w:rsidRPr="00841B41">
        <w:rPr>
          <w:sz w:val="18"/>
        </w:rPr>
        <w:t xml:space="preserve">”, </w:t>
      </w:r>
      <w:r w:rsidRPr="00841B41">
        <w:rPr>
          <w:sz w:val="18"/>
        </w:rPr>
        <w:t xml:space="preserve">IUCN 2019, </w:t>
      </w:r>
      <w:r w:rsidR="00633248" w:rsidRPr="00841B41">
        <w:rPr>
          <w:sz w:val="14"/>
        </w:rPr>
        <w:t>(</w:t>
      </w:r>
      <w:hyperlink r:id="rId8" w:history="1">
        <w:r w:rsidR="00633248" w:rsidRPr="00841B41">
          <w:rPr>
            <w:rStyle w:val="Hyperlink"/>
            <w:sz w:val="14"/>
          </w:rPr>
          <w:t>https://portals.iucn.org/library/sites/library/files/documents/PATRS-003-En.pdf</w:t>
        </w:r>
      </w:hyperlink>
      <w:r w:rsidR="00633248" w:rsidRPr="00841B41">
        <w:rPr>
          <w:sz w:val="18"/>
        </w:rPr>
        <w:t>)</w:t>
      </w:r>
    </w:p>
    <w:p w:rsidR="00014B1E" w:rsidRDefault="00014B1E" w:rsidP="00014B1E">
      <w:pPr>
        <w:autoSpaceDE w:val="0"/>
        <w:autoSpaceDN w:val="0"/>
        <w:adjustRightInd w:val="0"/>
        <w:spacing w:after="0" w:line="240" w:lineRule="auto"/>
        <w:rPr>
          <w:rFonts w:cs="HelveticaNeueLTPro-Roman"/>
          <w:sz w:val="24"/>
          <w:szCs w:val="18"/>
          <w:lang w:val="en-CA"/>
        </w:rPr>
      </w:pPr>
      <w:r w:rsidRPr="00014B1E">
        <w:rPr>
          <w:rFonts w:cs="HelveticaNeueLTPro-Roman"/>
          <w:sz w:val="24"/>
          <w:szCs w:val="18"/>
          <w:lang w:val="en-CA"/>
        </w:rPr>
        <w:t xml:space="preserve">Protected areas and OECMs </w:t>
      </w:r>
      <w:proofErr w:type="gramStart"/>
      <w:r w:rsidRPr="00014B1E">
        <w:rPr>
          <w:rFonts w:cs="HelveticaNeueLTPro-Roman"/>
          <w:sz w:val="24"/>
          <w:szCs w:val="18"/>
          <w:lang w:val="en-CA"/>
        </w:rPr>
        <w:t>are both expected</w:t>
      </w:r>
      <w:proofErr w:type="gramEnd"/>
      <w:r w:rsidRPr="00014B1E">
        <w:rPr>
          <w:rFonts w:cs="HelveticaNeueLTPro-Roman"/>
          <w:sz w:val="24"/>
          <w:szCs w:val="18"/>
          <w:lang w:val="en-CA"/>
        </w:rPr>
        <w:t xml:space="preserve"> to result in the long-term and effective in-situ conservation of biodiversity. However, whereas protected areas have nature conservation as the primary management objective, OECMs may or may not have nature conservation as an objective.</w:t>
      </w:r>
    </w:p>
    <w:p w:rsidR="00014B1E" w:rsidRPr="00014B1E" w:rsidRDefault="00014B1E" w:rsidP="00014B1E">
      <w:pPr>
        <w:autoSpaceDE w:val="0"/>
        <w:autoSpaceDN w:val="0"/>
        <w:adjustRightInd w:val="0"/>
        <w:spacing w:after="0" w:line="240" w:lineRule="auto"/>
        <w:rPr>
          <w:rFonts w:cs="HelveticaNeueLTPro-Bd"/>
          <w:b/>
          <w:sz w:val="28"/>
          <w:szCs w:val="20"/>
          <w:lang w:val="en-CA"/>
        </w:rPr>
      </w:pPr>
    </w:p>
    <w:p w:rsidR="00014B1E" w:rsidRPr="00014B1E" w:rsidRDefault="00014B1E" w:rsidP="00014B1E">
      <w:pPr>
        <w:autoSpaceDE w:val="0"/>
        <w:autoSpaceDN w:val="0"/>
        <w:adjustRightInd w:val="0"/>
        <w:spacing w:after="0" w:line="240" w:lineRule="auto"/>
        <w:rPr>
          <w:rFonts w:cs="HelveticaNeueLTPro-Bd"/>
          <w:sz w:val="32"/>
          <w:szCs w:val="20"/>
          <w:lang w:val="en-CA"/>
        </w:rPr>
      </w:pPr>
      <w:r w:rsidRPr="00014B1E">
        <w:rPr>
          <w:rFonts w:cs="HelveticaNeueLTPro-Bd"/>
          <w:sz w:val="24"/>
          <w:szCs w:val="18"/>
          <w:lang w:val="en-CA"/>
        </w:rPr>
        <w:t>Types of approaches that deliver effective conservation in other effective area-based conservation measures</w:t>
      </w:r>
      <w:r>
        <w:rPr>
          <w:rFonts w:cs="HelveticaNeueLTPro-Bd"/>
          <w:sz w:val="24"/>
          <w:szCs w:val="18"/>
          <w:lang w:val="en-CA"/>
        </w:rPr>
        <w:t>:</w:t>
      </w:r>
    </w:p>
    <w:p w:rsidR="00014B1E" w:rsidRDefault="00014B1E" w:rsidP="003E670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szCs w:val="20"/>
          <w:lang w:val="en-CA"/>
        </w:rPr>
      </w:pPr>
    </w:p>
    <w:p w:rsidR="00841B41" w:rsidRDefault="00841B41" w:rsidP="003E670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szCs w:val="20"/>
          <w:lang w:val="en-CA"/>
        </w:rPr>
      </w:pPr>
    </w:p>
    <w:p w:rsidR="00C6796E" w:rsidRDefault="004100A4" w:rsidP="003E670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sz w:val="20"/>
          <w:szCs w:val="20"/>
          <w:lang w:val="en-CA"/>
        </w:rPr>
      </w:pPr>
      <w:r w:rsidRPr="003E6702">
        <w:rPr>
          <w:rFonts w:ascii="HelveticaNeueLTPro-Bd" w:hAnsi="HelveticaNeueLTPro-Bd" w:cs="HelveticaNeueLTPro-Bd"/>
          <w:b/>
          <w:noProof/>
          <w:szCs w:val="20"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0">
                <wp:simplePos x="0" y="0"/>
                <wp:positionH relativeFrom="page">
                  <wp:posOffset>802640</wp:posOffset>
                </wp:positionH>
                <wp:positionV relativeFrom="paragraph">
                  <wp:posOffset>299085</wp:posOffset>
                </wp:positionV>
                <wp:extent cx="6122035" cy="10490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96E" w:rsidRDefault="003A4A3A" w:rsidP="004100A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“Primary conservation”—refers to areas that may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meet all elements of the IUCN definition of a protected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area, but which </w:t>
                            </w:r>
                            <w:proofErr w:type="gramStart"/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are not officially designated</w:t>
                            </w:r>
                            <w:proofErr w:type="gramEnd"/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as such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because the governance authority does not want the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3A4A3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area to be recognised or reported as a protected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pt;margin-top:23.55pt;width:482.05pt;height:82.6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J5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" o:allowoverlap="f" filled="f" stroked="f">
                <v:textbox>
                  <w:txbxContent>
                    <w:p w:rsidR="00C6796E" w:rsidRDefault="003A4A3A" w:rsidP="004100A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“Primary conservation”—refers to areas that may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meet all elements of the IUCN definition of a protected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area, but which </w:t>
                      </w:r>
                      <w:proofErr w:type="gramStart"/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are not officially designated</w:t>
                      </w:r>
                      <w:proofErr w:type="gramEnd"/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as such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because the governance authority does not want the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3A4A3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area to be recognised or reported as a protected area.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796E" w:rsidRPr="003E6702">
        <w:rPr>
          <w:rFonts w:ascii="HelveticaNeueLTPro-Bd" w:hAnsi="HelveticaNeueLTPro-Bd" w:cs="HelveticaNeueLTPro-Bd"/>
          <w:b/>
          <w:szCs w:val="20"/>
          <w:lang w:val="en-CA"/>
        </w:rPr>
        <w:t>Primary conservation</w:t>
      </w:r>
    </w:p>
    <w:p w:rsidR="00C6796E" w:rsidRPr="00C6796E" w:rsidRDefault="00C6796E" w:rsidP="003E6702">
      <w:pPr>
        <w:spacing w:line="240" w:lineRule="auto"/>
      </w:pPr>
      <w:r w:rsidRPr="00C6796E">
        <w:t>Examples can include:</w:t>
      </w:r>
    </w:p>
    <w:p w:rsidR="00C6796E" w:rsidRPr="00C6796E" w:rsidRDefault="00C6796E" w:rsidP="003E6702">
      <w:pPr>
        <w:spacing w:line="240" w:lineRule="auto"/>
      </w:pPr>
      <w:r w:rsidRPr="00C6796E">
        <w:t xml:space="preserve">• Some territories or areas (marine, freshwater or terrestrial) governed by indigenous peoples, local communities or private entities that have a primary and explicit conservation objective and deliver the in-situ conservation of biodiversity, but where the governing body wishes the territories or areas to be recognised and </w:t>
      </w:r>
      <w:proofErr w:type="gramStart"/>
      <w:r w:rsidRPr="00C6796E">
        <w:t>reported</w:t>
      </w:r>
      <w:proofErr w:type="gramEnd"/>
      <w:r w:rsidRPr="00C6796E">
        <w:t xml:space="preserve"> as OECMs, rather than as protected areas.</w:t>
      </w:r>
    </w:p>
    <w:p w:rsidR="00C6796E" w:rsidRPr="00C6796E" w:rsidRDefault="00C6796E" w:rsidP="003E6702">
      <w:pPr>
        <w:spacing w:line="240" w:lineRule="auto"/>
      </w:pPr>
      <w:r w:rsidRPr="00C6796E">
        <w:t xml:space="preserve">• Privately conserved areas, which are managed with a specific conservation objective but which are not </w:t>
      </w:r>
      <w:r>
        <w:t xml:space="preserve">recognized </w:t>
      </w:r>
      <w:r w:rsidRPr="00C6796E">
        <w:t>as protected areas under national legislation (Mitchell et al., 2</w:t>
      </w:r>
      <w:r>
        <w:t>018), e.g. ecosystem r</w:t>
      </w:r>
      <w:r w:rsidRPr="00C6796E">
        <w:t>estoration areas in Indonesia (</w:t>
      </w:r>
      <w:proofErr w:type="spellStart"/>
      <w:r w:rsidRPr="00C6796E">
        <w:t>Utomo</w:t>
      </w:r>
      <w:proofErr w:type="spellEnd"/>
      <w:r w:rsidRPr="00C6796E">
        <w:t xml:space="preserve"> and Walsh, 2018*).</w:t>
      </w:r>
    </w:p>
    <w:p w:rsidR="00C6796E" w:rsidRPr="00C6796E" w:rsidRDefault="00C6796E" w:rsidP="003E6702">
      <w:pPr>
        <w:spacing w:line="240" w:lineRule="auto"/>
      </w:pPr>
      <w:r w:rsidRPr="00C6796E">
        <w:t>• Areas that include Key Biodiversity Areas, managed in ways</w:t>
      </w:r>
      <w:r>
        <w:t xml:space="preserve"> </w:t>
      </w:r>
      <w:r w:rsidRPr="00C6796E">
        <w:t>that deliver long-term in-situ conservation of biodiversity</w:t>
      </w:r>
      <w:r>
        <w:t xml:space="preserve"> </w:t>
      </w:r>
      <w:r w:rsidRPr="00C6796E">
        <w:t>through, for example, regulation or other effective</w:t>
      </w:r>
      <w:r>
        <w:t xml:space="preserve"> </w:t>
      </w:r>
      <w:r w:rsidRPr="00C6796E">
        <w:t>approaches.</w:t>
      </w:r>
    </w:p>
    <w:p w:rsidR="00C6796E" w:rsidRPr="00C6796E" w:rsidRDefault="00C6796E" w:rsidP="003E6702">
      <w:pPr>
        <w:spacing w:line="240" w:lineRule="auto"/>
      </w:pPr>
      <w:r w:rsidRPr="00C6796E">
        <w:t>• Some permanently set-aside areas of a managed forest,</w:t>
      </w:r>
      <w:r>
        <w:t xml:space="preserve"> </w:t>
      </w:r>
      <w:r w:rsidRPr="00C6796E">
        <w:t xml:space="preserve">such as </w:t>
      </w:r>
      <w:proofErr w:type="gramStart"/>
      <w:r w:rsidRPr="00C6796E">
        <w:t>old-growth</w:t>
      </w:r>
      <w:proofErr w:type="gramEnd"/>
      <w:r w:rsidRPr="00C6796E">
        <w:t>, primary, or other high-biodiversity value</w:t>
      </w:r>
      <w:r>
        <w:t xml:space="preserve"> </w:t>
      </w:r>
      <w:r w:rsidRPr="00C6796E">
        <w:t>forests, which are protected from both forestry and non</w:t>
      </w:r>
      <w:r>
        <w:t>-</w:t>
      </w:r>
      <w:r w:rsidRPr="00C6796E">
        <w:t>forestry</w:t>
      </w:r>
      <w:r>
        <w:t xml:space="preserve"> </w:t>
      </w:r>
      <w:r w:rsidRPr="00C6796E">
        <w:t>threats.</w:t>
      </w:r>
    </w:p>
    <w:p w:rsidR="00C6796E" w:rsidRDefault="00C6796E" w:rsidP="003E6702">
      <w:pPr>
        <w:spacing w:line="240" w:lineRule="auto"/>
      </w:pPr>
      <w:r w:rsidRPr="00C6796E">
        <w:t>• Some natural areas managed by universities for biological</w:t>
      </w:r>
      <w:r>
        <w:t xml:space="preserve"> </w:t>
      </w:r>
      <w:r w:rsidRPr="00C6796E">
        <w:t>research.</w:t>
      </w:r>
    </w:p>
    <w:p w:rsidR="00C6796E" w:rsidRDefault="00C6796E" w:rsidP="003E6702">
      <w:pPr>
        <w:spacing w:line="240" w:lineRule="auto"/>
        <w:rPr>
          <w:rFonts w:ascii="HelveticaNeueLTPro-Bd" w:hAnsi="HelveticaNeueLTPro-Bd" w:cs="HelveticaNeueLTPro-Bd"/>
          <w:b/>
          <w:sz w:val="20"/>
          <w:szCs w:val="20"/>
          <w:lang w:val="en-CA"/>
        </w:rPr>
      </w:pPr>
      <w:r w:rsidRPr="003E6702">
        <w:rPr>
          <w:rFonts w:ascii="HelveticaNeueLTPro-Bd" w:hAnsi="HelveticaNeueLTPro-Bd" w:cs="HelveticaNeueLTPro-Bd"/>
          <w:b/>
          <w:noProof/>
          <w:szCs w:val="20"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1" allowOverlap="0" wp14:anchorId="528E437D" wp14:editId="36BFE4D5">
                <wp:simplePos x="0" y="0"/>
                <wp:positionH relativeFrom="page">
                  <wp:posOffset>850265</wp:posOffset>
                </wp:positionH>
                <wp:positionV relativeFrom="paragraph">
                  <wp:posOffset>278130</wp:posOffset>
                </wp:positionV>
                <wp:extent cx="6098540" cy="834390"/>
                <wp:effectExtent l="0" t="0" r="0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96E" w:rsidRDefault="00C15371" w:rsidP="00C1537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“Secondary conservation”—</w:t>
                            </w:r>
                            <w:proofErr w:type="gramStart"/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is achieved</w:t>
                            </w:r>
                            <w:proofErr w:type="gramEnd"/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through the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active management of an area where biodiversity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outcomes are a secondary management objective.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437D" id="_x0000_s1027" type="#_x0000_t202" style="position:absolute;margin-left:66.95pt;margin-top:21.9pt;width:480.2pt;height:65.7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" o:allowoverlap="f" filled="f" stroked="f">
                <v:textbox>
                  <w:txbxContent>
                    <w:p w:rsidR="00C6796E" w:rsidRDefault="00C15371" w:rsidP="00C1537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“Secondary conservation”—</w:t>
                      </w:r>
                      <w:proofErr w:type="gramStart"/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is achieved</w:t>
                      </w:r>
                      <w:proofErr w:type="gramEnd"/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through the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active management of an area where biodiversity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outcomes are a secondary management objective.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6702">
        <w:rPr>
          <w:rFonts w:ascii="HelveticaNeueLTPro-Bd" w:hAnsi="HelveticaNeueLTPro-Bd" w:cs="HelveticaNeueLTPro-Bd"/>
          <w:b/>
          <w:szCs w:val="20"/>
          <w:lang w:val="en-CA"/>
        </w:rPr>
        <w:t>Secondary conservation</w:t>
      </w:r>
    </w:p>
    <w:p w:rsidR="00C6796E" w:rsidRPr="00C6796E" w:rsidRDefault="00C6796E" w:rsidP="003E6702">
      <w:pPr>
        <w:spacing w:line="240" w:lineRule="auto"/>
      </w:pPr>
      <w:r w:rsidRPr="00C6796E">
        <w:t>Examples can include:</w:t>
      </w:r>
    </w:p>
    <w:p w:rsidR="00C6796E" w:rsidRPr="00C6796E" w:rsidRDefault="00C6796E" w:rsidP="003E6702">
      <w:pPr>
        <w:spacing w:line="240" w:lineRule="auto"/>
      </w:pPr>
      <w:r w:rsidRPr="00C6796E">
        <w:t>• Territories and areas managed by indigenous peoples and/</w:t>
      </w:r>
      <w:r>
        <w:t xml:space="preserve"> </w:t>
      </w:r>
      <w:r w:rsidRPr="00C6796E">
        <w:t>or local communities (ICCAs, or sections of these areas) to</w:t>
      </w:r>
      <w:r>
        <w:t xml:space="preserve"> </w:t>
      </w:r>
      <w:r w:rsidRPr="00C6796E">
        <w:t>maintain natural or near-natural ecosystems, with low levels</w:t>
      </w:r>
      <w:r>
        <w:t xml:space="preserve"> </w:t>
      </w:r>
      <w:r w:rsidRPr="00C6796E">
        <w:t>of use of natural resources practised on a sustainable basis</w:t>
      </w:r>
      <w:r>
        <w:t xml:space="preserve"> </w:t>
      </w:r>
      <w:r w:rsidRPr="00C6796E">
        <w:t>and in a way that does not degrade the area’s biodiversity.</w:t>
      </w:r>
      <w:r>
        <w:t xml:space="preserve"> </w:t>
      </w:r>
      <w:r w:rsidRPr="00C6796E">
        <w:t>This includes coastal and marine areas where local</w:t>
      </w:r>
      <w:r>
        <w:t xml:space="preserve"> </w:t>
      </w:r>
      <w:r w:rsidRPr="00C6796E">
        <w:t>community-based harvesting and management practices</w:t>
      </w:r>
      <w:r>
        <w:t xml:space="preserve"> </w:t>
      </w:r>
      <w:r w:rsidRPr="00C6796E">
        <w:t>result in de facto conservation of fish populations, habitats</w:t>
      </w:r>
      <w:r>
        <w:t xml:space="preserve"> </w:t>
      </w:r>
      <w:r w:rsidRPr="00C6796E">
        <w:t>and other associated marine biodiversity such as some</w:t>
      </w:r>
      <w:r>
        <w:t xml:space="preserve"> </w:t>
      </w:r>
      <w:r w:rsidRPr="00C6796E">
        <w:t>locally managed marine areas (LMMAs) (Jupiter et al., 2014).</w:t>
      </w:r>
    </w:p>
    <w:p w:rsidR="00C6796E" w:rsidRPr="00C6796E" w:rsidRDefault="00C6796E" w:rsidP="003E6702">
      <w:pPr>
        <w:spacing w:line="240" w:lineRule="auto"/>
      </w:pPr>
      <w:r w:rsidRPr="00C6796E">
        <w:t>• Traditional management systems that maintain high levels</w:t>
      </w:r>
      <w:r>
        <w:t xml:space="preserve"> </w:t>
      </w:r>
      <w:r w:rsidRPr="00C6796E">
        <w:t>of associated biodiversity. These could include certain</w:t>
      </w:r>
      <w:r>
        <w:t xml:space="preserve"> </w:t>
      </w:r>
      <w:r w:rsidRPr="00C6796E">
        <w:t>agricultural or forest management systems that maintain</w:t>
      </w:r>
      <w:r>
        <w:t xml:space="preserve"> </w:t>
      </w:r>
      <w:r w:rsidRPr="00C6796E">
        <w:t xml:space="preserve">native species and their habitat (e.g. </w:t>
      </w:r>
      <w:proofErr w:type="spellStart"/>
      <w:r w:rsidRPr="00C6796E">
        <w:t>Eghenter</w:t>
      </w:r>
      <w:proofErr w:type="spellEnd"/>
      <w:r w:rsidRPr="00C6796E">
        <w:t>, 2018;</w:t>
      </w:r>
      <w:r>
        <w:t xml:space="preserve"> </w:t>
      </w:r>
      <w:proofErr w:type="spellStart"/>
      <w:r w:rsidRPr="00C6796E">
        <w:t>Mwamidi</w:t>
      </w:r>
      <w:proofErr w:type="spellEnd"/>
      <w:r w:rsidRPr="00C6796E">
        <w:t xml:space="preserve"> et al., 2018*).</w:t>
      </w:r>
    </w:p>
    <w:p w:rsidR="00C6796E" w:rsidRPr="00C6796E" w:rsidRDefault="00C6796E" w:rsidP="003E6702">
      <w:pPr>
        <w:spacing w:line="240" w:lineRule="auto"/>
      </w:pPr>
      <w:r w:rsidRPr="00C6796E">
        <w:t>• Urban or municipal parks managed primarily for public</w:t>
      </w:r>
      <w:r w:rsidR="00C15371">
        <w:t xml:space="preserve"> </w:t>
      </w:r>
      <w:r w:rsidRPr="00C6796E">
        <w:t>recreation but which are large enough and sufficiently</w:t>
      </w:r>
      <w:r w:rsidR="00C15371">
        <w:t xml:space="preserve"> </w:t>
      </w:r>
      <w:r w:rsidRPr="00C6796E">
        <w:t>natural to also effectively achieve the in-situ conservation of</w:t>
      </w:r>
      <w:r w:rsidR="00C15371">
        <w:t xml:space="preserve"> </w:t>
      </w:r>
      <w:r w:rsidRPr="00C6796E">
        <w:t>biodiversity (e.g. wild grassland, wetlands) and which are</w:t>
      </w:r>
      <w:r w:rsidR="00C15371">
        <w:t xml:space="preserve"> </w:t>
      </w:r>
      <w:r w:rsidRPr="00C6796E">
        <w:t>managed to maintain these biodiversity values (e.g. Gray et</w:t>
      </w:r>
      <w:r w:rsidR="00C15371">
        <w:t xml:space="preserve"> </w:t>
      </w:r>
      <w:r w:rsidRPr="00C6796E">
        <w:t>al., 2018).</w:t>
      </w:r>
    </w:p>
    <w:p w:rsidR="00C6796E" w:rsidRPr="00C6796E" w:rsidRDefault="00C6796E" w:rsidP="003E6702">
      <w:pPr>
        <w:spacing w:line="240" w:lineRule="auto"/>
      </w:pPr>
      <w:r w:rsidRPr="00C6796E">
        <w:t>• Military lands and waters, or portions of military lands</w:t>
      </w:r>
      <w:r w:rsidR="00C15371">
        <w:t xml:space="preserve"> </w:t>
      </w:r>
      <w:r w:rsidRPr="00C6796E">
        <w:t xml:space="preserve">and waters that </w:t>
      </w:r>
      <w:proofErr w:type="gramStart"/>
      <w:r w:rsidRPr="00C6796E">
        <w:t>are primarily managed</w:t>
      </w:r>
      <w:proofErr w:type="gramEnd"/>
      <w:r w:rsidRPr="00C6796E">
        <w:t xml:space="preserve"> for the purpose of</w:t>
      </w:r>
      <w:r w:rsidR="00C15371">
        <w:t xml:space="preserve"> </w:t>
      </w:r>
      <w:proofErr w:type="spellStart"/>
      <w:r w:rsidRPr="00C6796E">
        <w:t>defence</w:t>
      </w:r>
      <w:proofErr w:type="spellEnd"/>
      <w:r w:rsidRPr="00C6796E">
        <w:t>, but with specific secondary objectives focused</w:t>
      </w:r>
      <w:r w:rsidR="00C15371">
        <w:t xml:space="preserve"> </w:t>
      </w:r>
      <w:r w:rsidRPr="00C6796E">
        <w:t>on the conservation of biodiversity. Canadian Forces Base</w:t>
      </w:r>
      <w:r w:rsidR="00C15371">
        <w:t xml:space="preserve"> </w:t>
      </w:r>
      <w:proofErr w:type="spellStart"/>
      <w:r w:rsidRPr="00C6796E">
        <w:t>Shilo</w:t>
      </w:r>
      <w:proofErr w:type="spellEnd"/>
      <w:r w:rsidRPr="00C6796E">
        <w:t>, located in the mixed-grass prairie ecosystem of</w:t>
      </w:r>
      <w:r w:rsidR="00C15371">
        <w:t xml:space="preserve"> </w:t>
      </w:r>
      <w:r w:rsidRPr="00C6796E">
        <w:t xml:space="preserve">south-central Manitoba (Canada), </w:t>
      </w:r>
      <w:proofErr w:type="gramStart"/>
      <w:r w:rsidRPr="00C6796E">
        <w:t>was proposed</w:t>
      </w:r>
      <w:proofErr w:type="gramEnd"/>
      <w:r w:rsidRPr="00C6796E">
        <w:t xml:space="preserve"> by Canada</w:t>
      </w:r>
      <w:r w:rsidR="00C15371">
        <w:t xml:space="preserve"> </w:t>
      </w:r>
      <w:r w:rsidRPr="00C6796E">
        <w:t>as an OECM in 2019.</w:t>
      </w:r>
    </w:p>
    <w:p w:rsidR="00C6796E" w:rsidRPr="00C6796E" w:rsidRDefault="00C6796E" w:rsidP="003E6702">
      <w:pPr>
        <w:spacing w:line="240" w:lineRule="auto"/>
      </w:pPr>
      <w:r w:rsidRPr="00C6796E">
        <w:t>• Watersheds or other areas managed primarily for water</w:t>
      </w:r>
      <w:r w:rsidR="00C15371">
        <w:t xml:space="preserve"> </w:t>
      </w:r>
      <w:r w:rsidRPr="00C6796E">
        <w:t>resource management that also result in the in-situ</w:t>
      </w:r>
      <w:r w:rsidR="00C15371">
        <w:t xml:space="preserve"> </w:t>
      </w:r>
      <w:r w:rsidRPr="00C6796E">
        <w:t>conservation of biodiversity. This can include, for example,</w:t>
      </w:r>
      <w:r w:rsidR="00C15371">
        <w:t xml:space="preserve"> </w:t>
      </w:r>
      <w:r w:rsidRPr="00C6796E">
        <w:t>water meadows, riverine forest, coastal forests, wetlands,</w:t>
      </w:r>
      <w:r w:rsidR="00C15371">
        <w:t xml:space="preserve"> </w:t>
      </w:r>
      <w:r w:rsidRPr="00C6796E">
        <w:t>streams, upland catchments, or other areas managed for</w:t>
      </w:r>
      <w:r w:rsidR="00C15371">
        <w:t xml:space="preserve"> </w:t>
      </w:r>
      <w:r w:rsidRPr="00C6796E">
        <w:t xml:space="preserve">long-term soil and slope </w:t>
      </w:r>
      <w:proofErr w:type="spellStart"/>
      <w:r w:rsidRPr="00C6796E">
        <w:t>stabilisation</w:t>
      </w:r>
      <w:proofErr w:type="spellEnd"/>
      <w:r w:rsidRPr="00C6796E">
        <w:t>, flood mitigation, or</w:t>
      </w:r>
      <w:r w:rsidR="00C15371">
        <w:t xml:space="preserve"> </w:t>
      </w:r>
      <w:r w:rsidRPr="00C6796E">
        <w:t xml:space="preserve">other ecosystem services (e.g. </w:t>
      </w:r>
      <w:proofErr w:type="spellStart"/>
      <w:r w:rsidRPr="00C6796E">
        <w:t>Matallana-Tobón</w:t>
      </w:r>
      <w:proofErr w:type="spellEnd"/>
      <w:r w:rsidRPr="00C6796E">
        <w:t xml:space="preserve"> et al., 2018*).</w:t>
      </w:r>
    </w:p>
    <w:p w:rsidR="00C6796E" w:rsidRPr="00C6796E" w:rsidRDefault="00C6796E" w:rsidP="003E6702">
      <w:pPr>
        <w:spacing w:line="240" w:lineRule="auto"/>
      </w:pPr>
      <w:r w:rsidRPr="00C6796E">
        <w:t>• Hunting reserves that maintain natural habitats and other</w:t>
      </w:r>
      <w:r w:rsidR="00C15371">
        <w:t xml:space="preserve"> </w:t>
      </w:r>
      <w:r w:rsidRPr="00C6796E">
        <w:t>flora and fauna as well as viable populations of hunted and</w:t>
      </w:r>
      <w:r w:rsidR="00C15371">
        <w:t xml:space="preserve"> </w:t>
      </w:r>
      <w:r w:rsidRPr="00C6796E">
        <w:t>non-hunted native species.</w:t>
      </w:r>
    </w:p>
    <w:p w:rsidR="00C6796E" w:rsidRPr="00C6796E" w:rsidRDefault="00C6796E" w:rsidP="003E6702">
      <w:pPr>
        <w:spacing w:line="240" w:lineRule="auto"/>
      </w:pPr>
      <w:r w:rsidRPr="00C6796E">
        <w:t>• Areas successfully restored from degraded or threatened</w:t>
      </w:r>
      <w:r w:rsidR="00C15371">
        <w:t xml:space="preserve"> </w:t>
      </w:r>
      <w:r w:rsidRPr="00C6796E">
        <w:t xml:space="preserve">ecosystems, to provide </w:t>
      </w:r>
      <w:proofErr w:type="gramStart"/>
      <w:r w:rsidRPr="00C6796E">
        <w:t>important ecosystem services but</w:t>
      </w:r>
      <w:r w:rsidR="00C15371">
        <w:t xml:space="preserve"> </w:t>
      </w:r>
      <w:r w:rsidRPr="00C6796E">
        <w:t>which also contribute to effective biodiversity conservation,</w:t>
      </w:r>
      <w:r w:rsidR="00C15371">
        <w:t xml:space="preserve"> </w:t>
      </w:r>
      <w:r w:rsidRPr="00C6796E">
        <w:t>e.g. freshwater</w:t>
      </w:r>
      <w:proofErr w:type="gramEnd"/>
      <w:r w:rsidRPr="00C6796E">
        <w:t xml:space="preserve"> and coastal wetlands restored for flood</w:t>
      </w:r>
      <w:r w:rsidR="00C15371">
        <w:t xml:space="preserve"> </w:t>
      </w:r>
      <w:r w:rsidRPr="00C6796E">
        <w:t>protection.</w:t>
      </w:r>
    </w:p>
    <w:p w:rsidR="00C6796E" w:rsidRDefault="00C6796E" w:rsidP="003E6702">
      <w:pPr>
        <w:spacing w:line="240" w:lineRule="auto"/>
        <w:rPr>
          <w:rFonts w:ascii="HelveticaNeueLTPro-Lt" w:hAnsi="HelveticaNeueLTPro-Lt" w:cs="HelveticaNeueLTPro-Lt"/>
          <w:sz w:val="18"/>
          <w:szCs w:val="18"/>
          <w:lang w:val="en-CA"/>
        </w:rPr>
      </w:pPr>
      <w:r w:rsidRPr="00C6796E">
        <w:t>• Areas that contribute to conservation because of their role</w:t>
      </w:r>
      <w:r w:rsidR="00C15371">
        <w:t xml:space="preserve"> </w:t>
      </w:r>
      <w:r w:rsidRPr="00C6796E">
        <w:t>in connecting protected areas and other areas of particular</w:t>
      </w:r>
      <w:r w:rsidR="00C15371">
        <w:t xml:space="preserve"> </w:t>
      </w:r>
      <w:r w:rsidRPr="00C6796E">
        <w:t>importance for the conservation of biodiversity, thereby</w:t>
      </w:r>
      <w:r w:rsidR="00C15371">
        <w:t xml:space="preserve"> </w:t>
      </w:r>
      <w:r w:rsidRPr="00C6796E">
        <w:t>contributing to the long-term viability of larger ecosystems</w:t>
      </w:r>
      <w:r w:rsidR="00C15371">
        <w:t xml:space="preserve"> </w:t>
      </w:r>
      <w:r w:rsidRPr="00C6796E">
        <w:t xml:space="preserve">(e.g. </w:t>
      </w:r>
      <w:proofErr w:type="spellStart"/>
      <w:r w:rsidRPr="00C6796E">
        <w:t>Waithaka</w:t>
      </w:r>
      <w:proofErr w:type="spellEnd"/>
      <w:r w:rsidRPr="00C6796E">
        <w:t xml:space="preserve"> &amp; </w:t>
      </w:r>
      <w:proofErr w:type="spellStart"/>
      <w:r w:rsidRPr="00C6796E">
        <w:t>Warigia</w:t>
      </w:r>
      <w:proofErr w:type="spellEnd"/>
      <w:r w:rsidRPr="00C6796E">
        <w:t xml:space="preserve"> </w:t>
      </w:r>
      <w:proofErr w:type="spellStart"/>
      <w:r w:rsidRPr="00C6796E">
        <w:t>Njor</w:t>
      </w:r>
      <w:r>
        <w:rPr>
          <w:rFonts w:ascii="HelveticaNeueLTPro-Lt" w:hAnsi="HelveticaNeueLTPro-Lt" w:cs="HelveticaNeueLTPro-Lt"/>
          <w:sz w:val="18"/>
          <w:szCs w:val="18"/>
          <w:lang w:val="en-CA"/>
        </w:rPr>
        <w:t>oge</w:t>
      </w:r>
      <w:proofErr w:type="spellEnd"/>
      <w:r>
        <w:rPr>
          <w:rFonts w:ascii="HelveticaNeueLTPro-Lt" w:hAnsi="HelveticaNeueLTPro-Lt" w:cs="HelveticaNeueLTPro-Lt"/>
          <w:sz w:val="18"/>
          <w:szCs w:val="18"/>
          <w:lang w:val="en-CA"/>
        </w:rPr>
        <w:t>, 2018*).</w:t>
      </w:r>
      <w:r w:rsidR="00C15371">
        <w:rPr>
          <w:rFonts w:ascii="HelveticaNeueLTPro-Lt" w:hAnsi="HelveticaNeueLTPro-Lt" w:cs="HelveticaNeueLTPro-Lt"/>
          <w:sz w:val="18"/>
          <w:szCs w:val="18"/>
          <w:lang w:val="en-CA"/>
        </w:rPr>
        <w:t xml:space="preserve"> </w:t>
      </w:r>
    </w:p>
    <w:p w:rsidR="003E6702" w:rsidRDefault="003E6702" w:rsidP="003E6702">
      <w:pPr>
        <w:spacing w:line="240" w:lineRule="auto"/>
        <w:rPr>
          <w:b/>
          <w:sz w:val="24"/>
        </w:rPr>
      </w:pPr>
    </w:p>
    <w:p w:rsidR="00D92D71" w:rsidRDefault="003E6702" w:rsidP="003E6702">
      <w:pPr>
        <w:spacing w:line="240" w:lineRule="auto"/>
        <w:rPr>
          <w:b/>
        </w:rPr>
      </w:pPr>
      <w:r w:rsidRPr="003E6702">
        <w:rPr>
          <w:rFonts w:ascii="HelveticaNeueLTPro-Bd" w:hAnsi="HelveticaNeueLTPro-Bd" w:cs="HelveticaNeueLTPro-Bd"/>
          <w:b/>
          <w:noProof/>
          <w:szCs w:val="20"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62848" behindDoc="0" locked="0" layoutInCell="1" allowOverlap="0" wp14:anchorId="264E7D84" wp14:editId="2C31FC2F">
                <wp:simplePos x="0" y="0"/>
                <wp:positionH relativeFrom="page">
                  <wp:posOffset>770890</wp:posOffset>
                </wp:positionH>
                <wp:positionV relativeFrom="paragraph">
                  <wp:posOffset>326170</wp:posOffset>
                </wp:positionV>
                <wp:extent cx="6189980" cy="874395"/>
                <wp:effectExtent l="0" t="0" r="0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71" w:rsidRPr="00C15371" w:rsidRDefault="00C15371" w:rsidP="003E6702">
                            <w:pPr>
                              <w:pBdr>
                                <w:top w:val="single" w:sz="24" w:space="9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“Ancillary conservation”—refers to areas that deliver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in-situ conservation as a by-product of management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activities, even though biodiversity conservation is not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a management objective.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D84" id="_x0000_s1028" type="#_x0000_t202" style="position:absolute;margin-left:60.7pt;margin-top:25.7pt;width:487.4pt;height:68.85pt;z-index:2516628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" o:allowoverlap="f" filled="f" stroked="f">
                <v:textbox>
                  <w:txbxContent>
                    <w:p w:rsidR="00C15371" w:rsidRPr="00C15371" w:rsidRDefault="00C15371" w:rsidP="003E6702">
                      <w:pPr>
                        <w:pBdr>
                          <w:top w:val="single" w:sz="24" w:space="9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lang w:val="en-CA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“Ancillary conservation”—refers to areas that deliver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in-situ conservation as a by-product of management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activities, even though biodiversity conservation is not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a management objective.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2D71" w:rsidRPr="003E6702">
        <w:rPr>
          <w:b/>
          <w:sz w:val="24"/>
        </w:rPr>
        <w:t>Ancillary Conservation</w:t>
      </w:r>
    </w:p>
    <w:p w:rsidR="003A4A3A" w:rsidRPr="00C6796E" w:rsidRDefault="003A4A3A" w:rsidP="003E6702">
      <w:pPr>
        <w:spacing w:line="240" w:lineRule="auto"/>
      </w:pPr>
      <w:r w:rsidRPr="00C6796E">
        <w:t>Examples can include: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 xml:space="preserve">Sacred natural sites with high biodiversity values that are conserved in the long-term for their associations with one or more faith groups (e.g. </w:t>
      </w:r>
      <w:proofErr w:type="spellStart"/>
      <w:r w:rsidRPr="003A4A3A">
        <w:t>Matallana-Tobón</w:t>
      </w:r>
      <w:proofErr w:type="spellEnd"/>
      <w:r w:rsidRPr="003A4A3A">
        <w:t xml:space="preserve"> et al., 2018*).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 xml:space="preserve">Military lands and waters, or portions of military lands and waters that </w:t>
      </w:r>
      <w:proofErr w:type="gramStart"/>
      <w:r w:rsidRPr="003A4A3A">
        <w:t>are managed</w:t>
      </w:r>
      <w:proofErr w:type="gramEnd"/>
      <w:r w:rsidRPr="003A4A3A">
        <w:t xml:space="preserve"> for the purpose of defence, do not have a secondary objective of biodiversity conservation, but achieve the effective conservation of biodiversity in the long term.</w:t>
      </w:r>
    </w:p>
    <w:p w:rsidR="003A4A3A" w:rsidRDefault="003A4A3A" w:rsidP="003E6702">
      <w:pPr>
        <w:spacing w:line="240" w:lineRule="auto"/>
        <w:rPr>
          <w:rFonts w:ascii="HelveticaNeueLTPro-Lt" w:hAnsi="HelveticaNeueLTPro-Lt" w:cs="HelveticaNeueLTPro-Lt"/>
          <w:b/>
          <w:sz w:val="18"/>
          <w:szCs w:val="18"/>
          <w:lang w:val="en-CA"/>
        </w:rPr>
      </w:pPr>
    </w:p>
    <w:p w:rsidR="00D92D71" w:rsidRDefault="00F46FBF" w:rsidP="003E6702">
      <w:pPr>
        <w:spacing w:line="240" w:lineRule="auto"/>
        <w:rPr>
          <w:rFonts w:ascii="HelveticaNeueLTPro-Lt" w:hAnsi="HelveticaNeueLTPro-Lt" w:cs="HelveticaNeueLTPro-Lt"/>
          <w:b/>
          <w:szCs w:val="18"/>
          <w:lang w:val="en-CA"/>
        </w:rPr>
      </w:pPr>
      <w:r w:rsidRPr="003E6702">
        <w:rPr>
          <w:rFonts w:ascii="HelveticaNeueLTPro-Bd" w:hAnsi="HelveticaNeueLTPro-Bd" w:cs="HelveticaNeueLTPro-Bd"/>
          <w:b/>
          <w:noProof/>
          <w:szCs w:val="20"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0" wp14:anchorId="189FDF3D" wp14:editId="4843F469">
                <wp:simplePos x="0" y="0"/>
                <wp:positionH relativeFrom="page">
                  <wp:posOffset>914400</wp:posOffset>
                </wp:positionH>
                <wp:positionV relativeFrom="paragraph">
                  <wp:posOffset>328295</wp:posOffset>
                </wp:positionV>
                <wp:extent cx="6130290" cy="874395"/>
                <wp:effectExtent l="0" t="0" r="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BF" w:rsidRPr="00C15371" w:rsidRDefault="00F46FBF" w:rsidP="00F46FBF">
                            <w:pPr>
                              <w:pBdr>
                                <w:top w:val="single" w:sz="24" w:space="9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“</w:t>
                            </w:r>
                            <w:r w:rsidRPr="00F46FB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Given the diversity of situations where OECMs can occur, it is essential that all areas being assessed should be screened carefully to evaluate each specific case.</w:t>
                            </w:r>
                            <w:r w:rsidRPr="00C15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en-C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DF3D" id="_x0000_s1029" type="#_x0000_t202" style="position:absolute;margin-left:1in;margin-top:25.85pt;width:482.7pt;height:68.85pt;z-index:251664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" o:allowoverlap="f" filled="f" stroked="f">
                <v:textbox>
                  <w:txbxContent>
                    <w:p w:rsidR="00F46FBF" w:rsidRPr="00C15371" w:rsidRDefault="00F46FBF" w:rsidP="00F46FBF">
                      <w:pPr>
                        <w:pBdr>
                          <w:top w:val="single" w:sz="24" w:space="9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lang w:val="en-CA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“</w:t>
                      </w:r>
                      <w:r w:rsidRPr="00F46FB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Given the diversity of situations where OECMs can occur, it is essential that all areas being assessed should be screened carefully to evaluate each specific case.</w:t>
                      </w:r>
                      <w:r w:rsidRPr="00C15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en-CA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2D71" w:rsidRPr="003E6702">
        <w:rPr>
          <w:rFonts w:ascii="HelveticaNeueLTPro-Lt" w:hAnsi="HelveticaNeueLTPro-Lt" w:cs="HelveticaNeueLTPro-Lt"/>
          <w:b/>
          <w:szCs w:val="18"/>
          <w:lang w:val="en-CA"/>
        </w:rPr>
        <w:t>Areas and management regimes unlikely to meet the IUCN criteria as an OECM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>Small, semi-natural areas within an intensively-managed landscape with limited biodiversity conservation value, such as municipal parks, formal/domestic gardens, arboreta, field margins, roadside verges, hedgerows, narrow shoreline or watercourse setbacks, firebreaks, recreational beaches, marinas and golf courses.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>Forests that are managed commercially for timber supply and are intended for logging, even though they may have some conservation va</w:t>
      </w:r>
      <w:bookmarkStart w:id="0" w:name="_GoBack"/>
      <w:bookmarkEnd w:id="0"/>
      <w:r w:rsidRPr="003A4A3A">
        <w:t xml:space="preserve">lues and support some species of interest. Such areas </w:t>
      </w:r>
      <w:proofErr w:type="gramStart"/>
      <w:r w:rsidRPr="003A4A3A">
        <w:t>should be considered</w:t>
      </w:r>
      <w:proofErr w:type="gramEnd"/>
      <w:r w:rsidRPr="003A4A3A">
        <w:t xml:space="preserve"> as contributing to Aichi Target 7.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 xml:space="preserve">Agricultural lands which </w:t>
      </w:r>
      <w:proofErr w:type="gramStart"/>
      <w:r w:rsidRPr="003A4A3A">
        <w:t>are managed</w:t>
      </w:r>
      <w:proofErr w:type="gramEnd"/>
      <w:r w:rsidRPr="003A4A3A">
        <w:t xml:space="preserve"> in a manner that limits the in-situ conservation of biodiversity. This may include, for example, pastures that </w:t>
      </w:r>
      <w:proofErr w:type="gramStart"/>
      <w:r w:rsidRPr="003A4A3A">
        <w:t>are grazed</w:t>
      </w:r>
      <w:proofErr w:type="gramEnd"/>
      <w:r w:rsidRPr="003A4A3A">
        <w:t xml:space="preserve"> too intensively to support native grassland ecosystems or species, or grasslands replanted with monocultures or non-native species for the purposes of livestock production.</w:t>
      </w:r>
    </w:p>
    <w:p w:rsidR="00D92D71" w:rsidRPr="003A4A3A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>Temporary agricultural set</w:t>
      </w:r>
      <w:r w:rsidR="003E6702">
        <w:t xml:space="preserve"> asides, summer fallow and grant-</w:t>
      </w:r>
      <w:r w:rsidRPr="003A4A3A">
        <w:t xml:space="preserve">maintained changes to agricultural practice that may benefit biodiversity. </w:t>
      </w:r>
    </w:p>
    <w:p w:rsidR="00D92D71" w:rsidRDefault="00D92D71" w:rsidP="003E6702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3A4A3A">
        <w:t>Conservation measures that apply to a single species or group of species, over a wide geographical range such as hunting regulations or whale-watching rules; these are better considered as being part of wider species conservation measures (Targets 5, 6, 7 and/or 12).</w:t>
      </w:r>
    </w:p>
    <w:sectPr w:rsidR="00D92D71" w:rsidSect="00202499">
      <w:headerReference w:type="first" r:id="rId9"/>
      <w:pgSz w:w="12240" w:h="15840"/>
      <w:pgMar w:top="144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99" w:rsidRDefault="00202499" w:rsidP="00202499">
      <w:pPr>
        <w:spacing w:after="0" w:line="240" w:lineRule="auto"/>
      </w:pPr>
      <w:r>
        <w:separator/>
      </w:r>
    </w:p>
  </w:endnote>
  <w:endnote w:type="continuationSeparator" w:id="0">
    <w:p w:rsidR="00202499" w:rsidRDefault="00202499" w:rsidP="0020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99" w:rsidRDefault="00202499" w:rsidP="00202499">
      <w:pPr>
        <w:spacing w:after="0" w:line="240" w:lineRule="auto"/>
      </w:pPr>
      <w:r>
        <w:separator/>
      </w:r>
    </w:p>
  </w:footnote>
  <w:footnote w:type="continuationSeparator" w:id="0">
    <w:p w:rsidR="00202499" w:rsidRDefault="00202499" w:rsidP="0020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9" w:rsidRDefault="00202499" w:rsidP="0020249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233FF1D" wp14:editId="5FCED838">
          <wp:extent cx="3938270" cy="85979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9F4"/>
    <w:multiLevelType w:val="hybridMultilevel"/>
    <w:tmpl w:val="0FA8E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207A"/>
    <w:multiLevelType w:val="hybridMultilevel"/>
    <w:tmpl w:val="96A0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2C42C">
      <w:numFmt w:val="bullet"/>
      <w:lvlText w:val="•"/>
      <w:lvlJc w:val="left"/>
      <w:pPr>
        <w:ind w:left="1440" w:hanging="360"/>
      </w:pPr>
      <w:rPr>
        <w:rFonts w:ascii="HelveticaNeueLTPro-Lt" w:eastAsiaTheme="minorHAnsi" w:hAnsi="HelveticaNeueLTPro-Lt" w:cs="HelveticaNeueLTPro-L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C7"/>
    <w:rsid w:val="00014B1E"/>
    <w:rsid w:val="000C50A7"/>
    <w:rsid w:val="00202499"/>
    <w:rsid w:val="00257185"/>
    <w:rsid w:val="003A4A3A"/>
    <w:rsid w:val="003E6702"/>
    <w:rsid w:val="004100A4"/>
    <w:rsid w:val="005B1405"/>
    <w:rsid w:val="00633248"/>
    <w:rsid w:val="007E3611"/>
    <w:rsid w:val="00841B41"/>
    <w:rsid w:val="009521C3"/>
    <w:rsid w:val="009612C7"/>
    <w:rsid w:val="00B45DA1"/>
    <w:rsid w:val="00BF72FE"/>
    <w:rsid w:val="00C15371"/>
    <w:rsid w:val="00C6796E"/>
    <w:rsid w:val="00CC7F77"/>
    <w:rsid w:val="00D92D71"/>
    <w:rsid w:val="00F32518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6B83-05F7-40BE-813E-21AAF21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6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99"/>
  </w:style>
  <w:style w:type="paragraph" w:styleId="Footer">
    <w:name w:val="footer"/>
    <w:basedOn w:val="Normal"/>
    <w:link w:val="FooterChar"/>
    <w:uiPriority w:val="99"/>
    <w:unhideWhenUsed/>
    <w:rsid w:val="0020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.iucn.org/library/sites/library/files/documents/PATRS-003-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Robertson,Courtney [NCR]</dc:creator>
  <cp:keywords/>
  <dc:description/>
  <cp:lastModifiedBy>Vandenberg,Sierra [NCR]</cp:lastModifiedBy>
  <cp:revision>3</cp:revision>
  <dcterms:created xsi:type="dcterms:W3CDTF">2019-11-29T13:50:00Z</dcterms:created>
  <dcterms:modified xsi:type="dcterms:W3CDTF">2019-12-06T22:29:00Z</dcterms:modified>
</cp:coreProperties>
</file>